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F1A" w:rsidRDefault="00E5521B" w:rsidP="00F13A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13AEF" w:rsidRPr="00F13AEF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F13AEF" w:rsidRPr="00F13AEF">
        <w:rPr>
          <w:rFonts w:ascii="Times New Roman" w:hAnsi="Times New Roman" w:cs="Times New Roman"/>
          <w:b/>
          <w:sz w:val="24"/>
          <w:szCs w:val="24"/>
        </w:rPr>
        <w:t xml:space="preserve"> РК ISO 20468-2 «Руководство по оценке эффективности технологий очистки для систем повторного использования воды. Часть 2. Методология оценки эффективности систем очистки на основе выбросов парниковых газов»</w:t>
      </w:r>
    </w:p>
    <w:p w:rsidR="00F13AEF" w:rsidRPr="001544B8" w:rsidRDefault="00F13AEF" w:rsidP="00F13A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C04C5C" w:rsidRDefault="00F13AEF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AEF">
        <w:rPr>
          <w:rFonts w:ascii="Times New Roman" w:hAnsi="Times New Roman" w:cs="Times New Roman"/>
          <w:sz w:val="24"/>
          <w:szCs w:val="24"/>
        </w:rPr>
        <w:t>Повторное использование воды привлекает внимание к необходимости содействия охране окружающей среды, а также поиска решений проблемы нехватки воды. Например, водоочистная станция играет дополнительную роль в удалении таких загрязняющих веществ, как новые загрязнители, патогены и токсичные элементы. В противном случае сброс воды в окружающую среду может увеличить риск для здоровья и/или оказать негативное воздействие на экосистемы. По сравнению с традиционными системами водоснабжения, включая гидротехнические сооружения, состоящие из плотин и водопроводящих сооружений, системы повторного использования воды позволяют экономить эксплуатационные энергоресурсы и ресурсы сооружений. Кроме того, повторное использование воды может свести к минимуму нарушение состояния окружающей среды в процессе разработки.</w:t>
      </w:r>
    </w:p>
    <w:p w:rsidR="00F13AEF" w:rsidRPr="00F13AEF" w:rsidRDefault="00F13AEF" w:rsidP="00F13AE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AEF">
        <w:rPr>
          <w:rFonts w:ascii="Times New Roman" w:hAnsi="Times New Roman" w:cs="Times New Roman"/>
          <w:sz w:val="24"/>
          <w:szCs w:val="24"/>
        </w:rPr>
        <w:t>Настоящий стандарт использует простой и стандартный подход, который может быть применен повсеместно. Поэтому данный документ включает в себя способы оценки выбросов парниковых газов с использованием таких стандартных показателей, как энергопотребление или количество расходных материалов, используемых в процессе эксплуатации. Кроме того, интенсивность выбросов эквивалента CO2 определяется для оценки экологической результативности системы очистки, выраженной в виде массы выбросов парниковых газов, поделенной на количество полученной восстановленной воды. В результате отпадает необходимость в значительном изменении существующего объема инженерных работ. Это облегчит нагрузку на инженеров.</w:t>
      </w:r>
    </w:p>
    <w:p w:rsidR="00F13AEF" w:rsidRDefault="00F13AEF" w:rsidP="00F13AE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AEF">
        <w:rPr>
          <w:rFonts w:ascii="Times New Roman" w:hAnsi="Times New Roman" w:cs="Times New Roman"/>
          <w:sz w:val="24"/>
          <w:szCs w:val="24"/>
        </w:rPr>
        <w:t>Предполагается, что настоящий стандарт внесет вклад в разработку экологически ответственных систем очистки.</w:t>
      </w:r>
    </w:p>
    <w:p w:rsidR="00F13AEF" w:rsidRDefault="00F13AEF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F13AEF" w:rsidRDefault="00F13AEF" w:rsidP="002C1F6A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F13AEF">
        <w:rPr>
          <w:rFonts w:ascii="Times New Roman" w:eastAsia="Arial" w:hAnsi="Times New Roman" w:cs="Times New Roman"/>
          <w:spacing w:val="4"/>
          <w:sz w:val="24"/>
          <w:szCs w:val="24"/>
        </w:rPr>
        <w:t>В настоящем документе представлены рекомендации по оценке эффективности систем очистки на основе выбросов парниковых газов.</w:t>
      </w:r>
    </w:p>
    <w:p w:rsidR="0064623B" w:rsidRPr="002C1F6A" w:rsidRDefault="0064623B" w:rsidP="002C1F6A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80294B" w:rsidRPr="002C1F6A" w:rsidRDefault="00F13AEF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4623B" w:rsidRDefault="00F13AEF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F13AEF">
        <w:rPr>
          <w:rFonts w:ascii="Times New Roman" w:hAnsi="Times New Roman" w:cs="Times New Roman"/>
          <w:sz w:val="24"/>
          <w:szCs w:val="24"/>
        </w:rPr>
        <w:t>Настоящий стандарт предназначен для использования инженерами-технологами и руководителями проектов по повторному использованию воды, техническими консультантами, проектировщиками, операторами систем водоподготовки, лицами, участвующими в мониторинге, оценке, регулировании и других видах деятельности сторонних организаций или соответствующих органов, а также производителями технологий водоочистки</w:t>
      </w:r>
    </w:p>
    <w:p w:rsidR="00764161" w:rsidRPr="002C1F6A" w:rsidRDefault="00764161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</w:p>
    <w:p w:rsidR="005365F9" w:rsidRPr="002C1F6A" w:rsidRDefault="00F13AEF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F13AEF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Pr="00F13AEF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>Настоящий</w:t>
      </w:r>
      <w:r w:rsidRPr="00F13AEF">
        <w:rPr>
          <w:rFonts w:ascii="Times New Roman" w:hAnsi="Times New Roman" w:cs="Times New Roman"/>
          <w:sz w:val="24"/>
          <w:szCs w:val="24"/>
        </w:rPr>
        <w:t xml:space="preserve"> </w:t>
      </w:r>
      <w:r w:rsidRPr="002C1F6A">
        <w:rPr>
          <w:rFonts w:ascii="Times New Roman" w:hAnsi="Times New Roman" w:cs="Times New Roman"/>
          <w:sz w:val="24"/>
          <w:szCs w:val="24"/>
        </w:rPr>
        <w:t>стандарт</w:t>
      </w:r>
      <w:r w:rsidRPr="00F13AEF">
        <w:rPr>
          <w:rFonts w:ascii="Times New Roman" w:hAnsi="Times New Roman" w:cs="Times New Roman"/>
          <w:sz w:val="24"/>
          <w:szCs w:val="24"/>
        </w:rPr>
        <w:t xml:space="preserve"> </w:t>
      </w:r>
      <w:r w:rsidRPr="002C1F6A">
        <w:rPr>
          <w:rFonts w:ascii="Times New Roman" w:hAnsi="Times New Roman" w:cs="Times New Roman"/>
          <w:sz w:val="24"/>
          <w:szCs w:val="24"/>
        </w:rPr>
        <w:t>разработан</w:t>
      </w:r>
      <w:r w:rsidRPr="00F13AEF">
        <w:rPr>
          <w:rFonts w:ascii="Times New Roman" w:hAnsi="Times New Roman" w:cs="Times New Roman"/>
          <w:sz w:val="24"/>
          <w:szCs w:val="24"/>
        </w:rPr>
        <w:t xml:space="preserve"> </w:t>
      </w:r>
      <w:r w:rsidRPr="002C1F6A">
        <w:rPr>
          <w:rFonts w:ascii="Times New Roman" w:hAnsi="Times New Roman" w:cs="Times New Roman"/>
          <w:sz w:val="24"/>
          <w:szCs w:val="24"/>
        </w:rPr>
        <w:t>на</w:t>
      </w:r>
      <w:r w:rsidRPr="00F13AEF">
        <w:rPr>
          <w:rFonts w:ascii="Times New Roman" w:hAnsi="Times New Roman" w:cs="Times New Roman"/>
          <w:sz w:val="24"/>
          <w:szCs w:val="24"/>
        </w:rPr>
        <w:t xml:space="preserve"> </w:t>
      </w:r>
      <w:r w:rsidRPr="002C1F6A">
        <w:rPr>
          <w:rFonts w:ascii="Times New Roman" w:hAnsi="Times New Roman" w:cs="Times New Roman"/>
          <w:sz w:val="24"/>
          <w:szCs w:val="24"/>
        </w:rPr>
        <w:t>основе</w:t>
      </w:r>
      <w:r w:rsidRPr="00F13AEF">
        <w:rPr>
          <w:rFonts w:ascii="Times New Roman" w:hAnsi="Times New Roman" w:cs="Times New Roman"/>
          <w:sz w:val="24"/>
          <w:szCs w:val="24"/>
        </w:rPr>
        <w:t xml:space="preserve"> </w:t>
      </w:r>
      <w:r w:rsidR="00F13AEF">
        <w:rPr>
          <w:rFonts w:ascii="Times New Roman" w:hAnsi="Times New Roman" w:cs="Times New Roman"/>
          <w:sz w:val="24"/>
          <w:szCs w:val="24"/>
        </w:rPr>
        <w:t>ме</w:t>
      </w:r>
      <w:bookmarkStart w:id="0" w:name="_GoBack"/>
      <w:bookmarkEnd w:id="0"/>
      <w:r w:rsidR="00F13AEF">
        <w:rPr>
          <w:rFonts w:ascii="Times New Roman" w:hAnsi="Times New Roman" w:cs="Times New Roman"/>
          <w:sz w:val="24"/>
          <w:szCs w:val="24"/>
        </w:rPr>
        <w:t>ждународного</w:t>
      </w:r>
      <w:r w:rsidR="00764161" w:rsidRPr="00F13AEF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</w:rPr>
        <w:t>стандарта</w:t>
      </w:r>
      <w:r w:rsidR="00764161" w:rsidRPr="00F13AEF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F13AEF">
        <w:rPr>
          <w:rFonts w:ascii="Times New Roman" w:hAnsi="Times New Roman" w:cs="Times New Roman"/>
          <w:sz w:val="24"/>
          <w:szCs w:val="24"/>
        </w:rPr>
        <w:br/>
      </w:r>
      <w:r w:rsidR="00F13AEF" w:rsidRPr="00F13AEF">
        <w:rPr>
          <w:rFonts w:ascii="Times New Roman" w:hAnsi="Times New Roman" w:cs="Times New Roman"/>
          <w:sz w:val="24"/>
          <w:szCs w:val="24"/>
          <w:lang w:val="kk-KZ"/>
        </w:rPr>
        <w:t>ISO 20468:2019 Guidelines for performance evaluation of treatment technologies for water reuse systems — Part 2: Methodology to evaluate performance of treatment systems on the basis of greenhouse gas emissions (Качество почвы – Оценка воздействия почвы, загрязненной нефтяными углеводородами)</w:t>
      </w:r>
      <w:r w:rsidR="002C1F6A" w:rsidRPr="00F13AEF">
        <w:rPr>
          <w:rFonts w:ascii="Times New Roman" w:hAnsi="Times New Roman" w:cs="Times New Roman"/>
          <w:sz w:val="24"/>
          <w:szCs w:val="24"/>
        </w:rPr>
        <w:t>.</w:t>
      </w:r>
    </w:p>
    <w:p w:rsidR="004B6F1A" w:rsidRPr="00F13AEF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F13AEF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>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53A" w:rsidRDefault="0000353A">
      <w:r>
        <w:separator/>
      </w:r>
    </w:p>
  </w:endnote>
  <w:endnote w:type="continuationSeparator" w:id="0">
    <w:p w:rsidR="0000353A" w:rsidRDefault="0000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53A" w:rsidRDefault="0000353A">
      <w:r>
        <w:separator/>
      </w:r>
    </w:p>
  </w:footnote>
  <w:footnote w:type="continuationSeparator" w:id="0">
    <w:p w:rsidR="0000353A" w:rsidRDefault="00003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353A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13AEF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BA1EE-167D-468A-B36C-82CDBDAF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4023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Пользователь Windows</cp:lastModifiedBy>
  <cp:revision>21</cp:revision>
  <cp:lastPrinted>2019-02-14T09:51:00Z</cp:lastPrinted>
  <dcterms:created xsi:type="dcterms:W3CDTF">2020-07-02T14:27:00Z</dcterms:created>
  <dcterms:modified xsi:type="dcterms:W3CDTF">2020-09-03T05:41:00Z</dcterms:modified>
</cp:coreProperties>
</file>